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pPr>
          </w:p>
        </w:tc>
        <w:tc>
          <w:tcPr/>
          <w:p>
            <w:pPr>
              <w:pStyle w:val="Compact"/>
              <w:jc w:val="left"/>
            </w:pPr>
            <w:r>
              <w:t xml:space="preserve">count</w:t>
            </w:r>
          </w:p>
        </w:tc>
      </w:tr>
      <w:tr>
        <w:tc>
          <w:tcPr/>
          <w:p>
            <w:pPr>
              <w:pStyle w:val="Compact"/>
              <w:jc w:val="left"/>
            </w:pPr>
            <w:r>
              <w:t xml:space="preserve">words</w:t>
            </w:r>
          </w:p>
        </w:tc>
        <w:tc>
          <w:tcPr/>
          <w:p>
            <w:pPr>
              <w:pStyle w:val="Compact"/>
              <w:jc w:val="left"/>
            </w:pPr>
            <w:r>
              <w:t xml:space="preserve">1454</w:t>
            </w:r>
            <w:r>
              <w:t xml:space="preserve"> </w:t>
            </w:r>
            <w:r>
              <w:rPr>
                <w:iCs/>
                <w:i/>
              </w:rPr>
              <w:t xml:space="preserve">(1500 max)</w:t>
            </w:r>
          </w:p>
        </w:tc>
      </w:tr>
      <w:tr>
        <w:tc>
          <w:tcPr/>
          <w:p>
            <w:pPr>
              <w:pStyle w:val="Compact"/>
              <w:jc w:val="left"/>
            </w:pPr>
            <w:r>
              <w:t xml:space="preserve">figures</w:t>
            </w:r>
          </w:p>
        </w:tc>
        <w:tc>
          <w:tcPr/>
          <w:p>
            <w:pPr>
              <w:pStyle w:val="Compact"/>
              <w:jc w:val="left"/>
            </w:pPr>
            <w:r>
              <w:rPr>
                <w:iCs/>
                <w:i/>
              </w:rPr>
              <w:t xml:space="preserve">(1-2 encouraged)</w:t>
            </w:r>
          </w:p>
        </w:tc>
      </w:tr>
      <w:tr>
        <w:tc>
          <w:tcPr/>
          <w:p>
            <w:pPr>
              <w:pStyle w:val="Compact"/>
              <w:jc w:val="left"/>
            </w:pPr>
            <w:r>
              <w:t xml:space="preserve">tables</w:t>
            </w:r>
          </w:p>
        </w:tc>
        <w:tc>
          <w:tcPr/>
          <w:p>
            <w:pPr>
              <w:pStyle w:val="Compact"/>
              <w:jc w:val="left"/>
            </w:pPr>
            <w:r>
              <w:t xml:space="preserve">0</w:t>
            </w:r>
          </w:p>
        </w:tc>
      </w:tr>
      <w:tr>
        <w:tc>
          <w:tcPr/>
          <w:p>
            <w:pPr>
              <w:pStyle w:val="Compact"/>
              <w:jc w:val="left"/>
            </w:pPr>
            <w:r>
              <w:t xml:space="preserve">references</w:t>
            </w:r>
          </w:p>
        </w:tc>
        <w:tc>
          <w:tcPr/>
          <w:p>
            <w:pPr>
              <w:pStyle w:val="Compact"/>
              <w:jc w:val="left"/>
            </w:pPr>
            <w:r>
              <w:t xml:space="preserve">13</w:t>
            </w:r>
            <w:r>
              <w:t xml:space="preserve"> </w:t>
            </w:r>
            <w:r>
              <w:rPr>
                <w:iCs/>
                <w:i/>
              </w:rPr>
              <w:t xml:space="preserve">(15 max)</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w:t>
      </w:r>
      <w:r>
        <w:rPr>
          <w:bCs/>
          <w:b/>
        </w:rPr>
        <w:t xml:space="preserve">Fig. 1</w:t>
      </w:r>
      <w:r>
        <w:t xml:space="preserve">,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suggesting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5189149"/>
            <wp:effectExtent b="0" l="0" r="0" t="0"/>
            <wp:docPr descr="Figure 1. Schematic summarizing the effects of a severe summer drought on seasonal patterns in CO2 uptake (photosynthesis) and C sequestration (woody growth). Based on Martínez-Sancho et al. (2022), which combined weekly microcores with a detailed analysis of wood anatomy and C stable isotopes (∂13C) to understand the seasonal dynamics of C sequestration in four mature Picea abies trees in a Swiss valley. Strong reductions in stem growth during the drought resulted in nonstructural carbohydrates (NSC) stores that were used in a compensatory growth response following the drought, resulting in similar C sequestration in drought and non-drought years." title="" id="22" name="Picture"/>
            <a:graphic>
              <a:graphicData uri="http://schemas.openxmlformats.org/drawingml/2006/picture">
                <pic:pic>
                  <pic:nvPicPr>
                    <pic:cNvPr descr="display/Figure1.png" id="23" name="Picture"/>
                    <pic:cNvPicPr>
                      <a:picLocks noChangeArrowheads="1" noChangeAspect="1"/>
                    </pic:cNvPicPr>
                  </pic:nvPicPr>
                  <pic:blipFill>
                    <a:blip r:embed="rId21"/>
                    <a:stretch>
                      <a:fillRect/>
                    </a:stretch>
                  </pic:blipFill>
                  <pic:spPr bwMode="auto">
                    <a:xfrm>
                      <a:off x="0" y="0"/>
                      <a:ext cx="5943600" cy="5189149"/>
                    </a:xfrm>
                    <a:prstGeom prst="rect">
                      <a:avLst/>
                    </a:prstGeom>
                    <a:noFill/>
                    <a:ln w="9525">
                      <a:noFill/>
                      <a:headEnd/>
                      <a:tailEnd/>
                    </a:ln>
                  </pic:spPr>
                </pic:pic>
              </a:graphicData>
            </a:graphic>
          </wp:inline>
        </w:drawing>
      </w:r>
    </w:p>
    <w:p>
      <w:pPr>
        <w:pStyle w:val="ImageCaption"/>
      </w:pPr>
      <w:r>
        <w:rPr>
          <w:bCs/>
          <w:b/>
        </w:rPr>
        <w:t xml:space="preserve">Figure 1. Schematic summarizing the effects of a severe summer drought on seasonal patterns in CO</w:t>
      </w:r>
      <w:r>
        <w:rPr>
          <w:vertAlign w:val="subscript"/>
          <w:bCs/>
          <w:b/>
        </w:rPr>
        <w:t xml:space="preserve">2</w:t>
      </w:r>
      <w:r>
        <w:rPr>
          <w:bCs/>
          <w:b/>
        </w:rPr>
        <w:t xml:space="preserve"> </w:t>
      </w:r>
      <w:r>
        <w:rPr>
          <w:bCs/>
          <w:b/>
        </w:rPr>
        <w:t xml:space="preserve">uptake (photosynthesis) and C sequestration (woody growth).</w:t>
      </w:r>
      <w:r>
        <w:t xml:space="preserve"> </w:t>
      </w:r>
      <w:r>
        <w:t xml:space="preserve">Based on</w:t>
      </w:r>
      <w:r>
        <w:t xml:space="preserve"> </w:t>
      </w:r>
      <w:r>
        <w:t xml:space="preserve">Martínez-Sancho</w:t>
      </w:r>
      <w:r>
        <w:t xml:space="preserve"> </w:t>
      </w:r>
      <w:r>
        <w:rPr>
          <w:iCs/>
          <w:i/>
        </w:rPr>
        <w:t xml:space="preserve">et al.</w:t>
      </w:r>
      <w:r>
        <w:t xml:space="preserve"> </w:t>
      </w:r>
      <w:r>
        <w:t xml:space="preserve">(2022)</w:t>
      </w:r>
      <w:r>
        <w:t xml:space="preserve">, which combined weekly microcores with a detailed analysis of wood anatomy and C stable isotopes (∂</w:t>
      </w:r>
      <w:r>
        <w:rPr>
          <w:vertAlign w:val="superscript"/>
        </w:rPr>
        <w:t xml:space="preserve">13</w:t>
      </w:r>
      <w:r>
        <w:t xml:space="preserve">C) to understand the seasonal dynamics of C sequestration in four mature</w:t>
      </w:r>
      <w:r>
        <w:t xml:space="preserve"> </w:t>
      </w:r>
      <w:r>
        <w:rPr>
          <w:iCs/>
          <w:i/>
        </w:rPr>
        <w:t xml:space="preserve">Picea abies</w:t>
      </w:r>
      <w:r>
        <w:t xml:space="preserve"> </w:t>
      </w:r>
      <w:r>
        <w:t xml:space="preserve">trees in a Swiss valley. Strong reductions in stem growth during the drought resulted in nonstructural carbohydrates (NSC) stores that were used in a compensatory growth response following the drought, resulting in similar C sequestration in drought and non-drought years.</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w:t>
      </w:r>
      <w:r>
        <w:rPr>
          <w:bCs/>
          <w:b/>
        </w:rPr>
        <w:t xml:space="preserve">Fig. 2?</w:t>
      </w:r>
      <w:r>
        <w:t xml:space="preserve">).</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The observed strong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implies that global change drivers will have different impacts on CO</w:t>
      </w:r>
      <w:r>
        <w:rPr>
          <w:vertAlign w:val="subscript"/>
        </w:rPr>
        <w:t xml:space="preserve">2</w:t>
      </w:r>
      <w:r>
        <w:t xml:space="preserve"> </w:t>
      </w:r>
      <w:r>
        <w:t xml:space="preserve">uptake and carbon sequestration.</w:t>
      </w:r>
      <w:r>
        <w:t xml:space="preserve"> </w:t>
      </w:r>
      <w:r>
        <w:t xml:space="preserve">For instance, while warm springs increase</w:t>
      </w:r>
      <w:r>
        <w:t xml:space="preserve"> </w:t>
      </w:r>
      <w:r>
        <w:rPr>
          <w:iCs/>
          <w:i/>
        </w:rPr>
        <w:t xml:space="preserve">GPP</w:t>
      </w:r>
      <w:r>
        <w:t xml:space="preserve"> </w:t>
      </w:r>
      <w:r>
        <w:t xml:space="preserve">in temperate deciduous forests, this 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4477302"/>
            <wp:effectExtent b="0" l="0" r="0" t="0"/>
            <wp:docPr descr="Figure 2. Schematic summarizing the relationship between photosynthesis and wood formation across various time scales. Red wedges indicate integration across time and space. DRAFT FIGURE. I’m thinking of watercolor paintings of the trees, scanned images of a core and annual rings." title="" id="25" name="Picture"/>
            <a:graphic>
              <a:graphicData uri="http://schemas.openxmlformats.org/drawingml/2006/picture">
                <pic:pic>
                  <pic:nvPicPr>
                    <pic:cNvPr descr="display/figure2_draft.png" id="26" name="Picture"/>
                    <pic:cNvPicPr>
                      <a:picLocks noChangeArrowheads="1" noChangeAspect="1"/>
                    </pic:cNvPicPr>
                  </pic:nvPicPr>
                  <pic:blipFill>
                    <a:blip r:embed="rId24"/>
                    <a:stretch>
                      <a:fillRect/>
                    </a:stretch>
                  </pic:blipFill>
                  <pic:spPr bwMode="auto">
                    <a:xfrm>
                      <a:off x="0" y="0"/>
                      <a:ext cx="5943600" cy="4477302"/>
                    </a:xfrm>
                    <a:prstGeom prst="rect">
                      <a:avLst/>
                    </a:prstGeom>
                    <a:noFill/>
                    <a:ln w="9525">
                      <a:noFill/>
                      <a:headEnd/>
                      <a:tailEnd/>
                    </a:ln>
                  </pic:spPr>
                </pic:pic>
              </a:graphicData>
            </a:graphic>
          </wp:inline>
        </w:drawing>
      </w:r>
    </w:p>
    <w:p>
      <w:pPr>
        <w:pStyle w:val="ImageCaption"/>
      </w:pPr>
      <w:r>
        <w:rPr>
          <w:bCs/>
          <w:b/>
        </w:rPr>
        <w:t xml:space="preserve">Figure 2. Schematic summarizing the relationship between photosynthesis and wood formation across various time scales.</w:t>
      </w:r>
      <w:r>
        <w:t xml:space="preserve"> </w:t>
      </w:r>
      <w:r>
        <w:t xml:space="preserve">Red wedges indicate integration across time and space.</w:t>
      </w:r>
      <w:r>
        <w:t xml:space="preserve"> </w:t>
      </w:r>
      <w:r>
        <w:rPr>
          <w:iCs/>
          <w:i/>
        </w:rPr>
        <w:t xml:space="preserve">DRAFT FIGURE. I’m thinking of watercolor paintings of the trees, scanned images of a core and annual rings.</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eddy covariance, and modeling.</w:t>
      </w:r>
    </w:p>
    <w:p>
      <w:r>
        <w:br w:type="page"/>
      </w:r>
    </w:p>
    <w:bookmarkStart w:id="55" w:name="References"/>
    <w:p>
      <w:pPr>
        <w:pStyle w:val="Heading1"/>
      </w:pPr>
      <w:r>
        <w:t xml:space="preserve">References</w:t>
      </w:r>
    </w:p>
    <w:bookmarkStart w:id="54" w:name="refs"/>
    <w:bookmarkStart w:id="28"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w:t>
      </w:r>
      <w:r>
        <w:t xml:space="preserve"> </w:t>
      </w:r>
      <w:hyperlink r:id="rId27">
        <w:r>
          <w:rPr>
            <w:rStyle w:val="Hyperlink"/>
          </w:rPr>
          <w:t xml:space="preserve">Global patterns of forest autotrophic carbon fluxes</w:t>
        </w:r>
      </w:hyperlink>
      <w:r>
        <w:t xml:space="preserve">.</w:t>
      </w:r>
      <w:r>
        <w:t xml:space="preserve"> </w:t>
      </w:r>
      <w:r>
        <w:rPr>
          <w:iCs/>
          <w:i/>
        </w:rPr>
        <w:t xml:space="preserve">Global Change Biology</w:t>
      </w:r>
      <w:r>
        <w:t xml:space="preserve"> </w:t>
      </w:r>
      <w:r>
        <w:rPr>
          <w:bCs/>
          <w:b/>
        </w:rPr>
        <w:t xml:space="preserve">27</w:t>
      </w:r>
      <w:r>
        <w:t xml:space="preserve">: 2840–2855.</w:t>
      </w:r>
    </w:p>
    <w:bookmarkEnd w:id="28"/>
    <w:bookmarkStart w:id="30"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29">
        <w:r>
          <w:rPr>
            <w:rStyle w:val="Hyperlink"/>
          </w:rPr>
          <w:t xml:space="preserve">Cross-biome synthesis of source versus sink limits to tree growth</w:t>
        </w:r>
      </w:hyperlink>
      <w:r>
        <w:t xml:space="preserve">.</w:t>
      </w:r>
      <w:r>
        <w:t xml:space="preserve"> </w:t>
      </w:r>
      <w:r>
        <w:rPr>
          <w:iCs/>
          <w:i/>
        </w:rPr>
        <w:t xml:space="preserve">Science</w:t>
      </w:r>
      <w:r>
        <w:t xml:space="preserve"> </w:t>
      </w:r>
      <w:r>
        <w:rPr>
          <w:bCs/>
          <w:b/>
        </w:rPr>
        <w:t xml:space="preserve">376</w:t>
      </w:r>
      <w:r>
        <w:t xml:space="preserve">: 758–761.</w:t>
      </w:r>
    </w:p>
    <w:bookmarkEnd w:id="30"/>
    <w:bookmarkStart w:id="32"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31">
        <w:r>
          <w:rPr>
            <w:rStyle w:val="Hyperlink"/>
          </w:rPr>
          <w:t xml:space="preserve">Woody biomass production lags stem-girth increase by over one month in coniferous forests</w:t>
        </w:r>
      </w:hyperlink>
      <w:r>
        <w:t xml:space="preserve">.</w:t>
      </w:r>
      <w:r>
        <w:t xml:space="preserve"> </w:t>
      </w:r>
      <w:r>
        <w:rPr>
          <w:iCs/>
          <w:i/>
        </w:rPr>
        <w:t xml:space="preserve">Nature Plants</w:t>
      </w:r>
      <w:r>
        <w:t xml:space="preserve"> </w:t>
      </w:r>
      <w:r>
        <w:rPr>
          <w:bCs/>
          <w:b/>
        </w:rPr>
        <w:t xml:space="preserve">1</w:t>
      </w:r>
      <w:r>
        <w:t xml:space="preserve">: 15160.</w:t>
      </w:r>
    </w:p>
    <w:bookmarkEnd w:id="32"/>
    <w:bookmarkStart w:id="34"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3">
        <w:r>
          <w:rPr>
            <w:rStyle w:val="Hyperlink"/>
          </w:rPr>
          <w:t xml:space="preserve">Drought timing and local climate determine the sensitivity of eastern temperate forests to drought</w:t>
        </w:r>
      </w:hyperlink>
      <w:r>
        <w:t xml:space="preserve">.</w:t>
      </w:r>
      <w:r>
        <w:t xml:space="preserve"> </w:t>
      </w:r>
      <w:r>
        <w:rPr>
          <w:iCs/>
          <w:i/>
        </w:rPr>
        <w:t xml:space="preserve">Global Change Biology</w:t>
      </w:r>
      <w:r>
        <w:t xml:space="preserve"> </w:t>
      </w:r>
      <w:r>
        <w:rPr>
          <w:bCs/>
          <w:b/>
        </w:rPr>
        <w:t xml:space="preserve">24</w:t>
      </w:r>
      <w:r>
        <w:t xml:space="preserve">: 2339–2351.</w:t>
      </w:r>
    </w:p>
    <w:bookmarkEnd w:id="34"/>
    <w:bookmarkStart w:id="36"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w:t>
      </w:r>
      <w:r>
        <w:t xml:space="preserve">.</w:t>
      </w:r>
      <w:r>
        <w:t xml:space="preserve"> </w:t>
      </w:r>
      <w:hyperlink r:id="rId35">
        <w:r>
          <w:rPr>
            <w:rStyle w:val="Hyperlink"/>
          </w:rPr>
          <w:t xml:space="preserve">Wood phenology, not carbon input, controls the interannual variability of wood growth in a temperate oak forest</w:t>
        </w:r>
      </w:hyperlink>
      <w:r>
        <w:t xml:space="preserve">.</w:t>
      </w:r>
      <w:r>
        <w:t xml:space="preserve"> </w:t>
      </w:r>
      <w:r>
        <w:rPr>
          <w:iCs/>
          <w:i/>
        </w:rPr>
        <w:t xml:space="preserve">New Phytologist</w:t>
      </w:r>
      <w:r>
        <w:t xml:space="preserve"> </w:t>
      </w:r>
      <w:r>
        <w:rPr>
          <w:bCs/>
          <w:b/>
        </w:rPr>
        <w:t xml:space="preserve">210</w:t>
      </w:r>
      <w:r>
        <w:t xml:space="preserve">: 459–470.</w:t>
      </w:r>
    </w:p>
    <w:bookmarkEnd w:id="36"/>
    <w:bookmarkStart w:id="38"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w:t>
      </w:r>
      <w:r>
        <w:t xml:space="preserve"> </w:t>
      </w:r>
      <w:hyperlink r:id="rId37">
        <w:r>
          <w:rPr>
            <w:rStyle w:val="Hyperlink"/>
          </w:rPr>
          <w:t xml:space="preserve">Warm springs alter timing but not total growth of temperate deciduous trees</w:t>
        </w:r>
      </w:hyperlink>
      <w:r>
        <w:t xml:space="preserve">.</w:t>
      </w:r>
      <w:r>
        <w:t xml:space="preserve"> </w:t>
      </w:r>
      <w:r>
        <w:rPr>
          <w:iCs/>
          <w:i/>
        </w:rPr>
        <w:t xml:space="preserve">Nature</w:t>
      </w:r>
      <w:r>
        <w:t xml:space="preserve">.</w:t>
      </w:r>
    </w:p>
    <w:bookmarkEnd w:id="38"/>
    <w:bookmarkStart w:id="40"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39">
        <w:r>
          <w:rPr>
            <w:rStyle w:val="Hyperlink"/>
          </w:rPr>
          <w:t xml:space="preserve">Number of growth days and not length of the growth period determines radial stem growth of temperate trees</w:t>
        </w:r>
      </w:hyperlink>
      <w:r>
        <w:t xml:space="preserve">.</w:t>
      </w:r>
      <w:r>
        <w:t xml:space="preserve"> </w:t>
      </w:r>
      <w:r>
        <w:rPr>
          <w:iCs/>
          <w:i/>
        </w:rPr>
        <w:t xml:space="preserve">Ecology Letters</w:t>
      </w:r>
      <w:r>
        <w:t xml:space="preserve"> </w:t>
      </w:r>
      <w:r>
        <w:rPr>
          <w:bCs/>
          <w:b/>
        </w:rPr>
        <w:t xml:space="preserve">25</w:t>
      </w:r>
      <w:r>
        <w:t xml:space="preserve">: 427–439.</w:t>
      </w:r>
    </w:p>
    <w:bookmarkEnd w:id="40"/>
    <w:bookmarkStart w:id="41"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41"/>
    <w:bookmarkStart w:id="43"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w:t>
      </w:r>
      <w:r>
        <w:t xml:space="preserve"> </w:t>
      </w:r>
      <w:hyperlink r:id="rId42">
        <w:r>
          <w:rPr>
            <w:rStyle w:val="Hyperlink"/>
          </w:rPr>
          <w:t xml:space="preserve">On the need to consider wood formation processes in global vegetation models and a suggested approach</w:t>
        </w:r>
      </w:hyperlink>
      <w:r>
        <w:t xml:space="preserve">.</w:t>
      </w:r>
      <w:r>
        <w:t xml:space="preserve"> </w:t>
      </w:r>
      <w:r>
        <w:rPr>
          <w:iCs/>
          <w:i/>
        </w:rPr>
        <w:t xml:space="preserve">Annals of Forest Science</w:t>
      </w:r>
      <w:r>
        <w:t xml:space="preserve"> </w:t>
      </w:r>
      <w:r>
        <w:rPr>
          <w:bCs/>
          <w:b/>
        </w:rPr>
        <w:t xml:space="preserve">76</w:t>
      </w:r>
      <w:r>
        <w:t xml:space="preserve">: 49.</w:t>
      </w:r>
    </w:p>
    <w:bookmarkEnd w:id="43"/>
    <w:bookmarkStart w:id="45"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4">
        <w:r>
          <w:rPr>
            <w:rStyle w:val="Hyperlink"/>
          </w:rPr>
          <w:t xml:space="preserve">The fate of carbon in a mature forest under carbon dioxide enrichment</w:t>
        </w:r>
      </w:hyperlink>
      <w:r>
        <w:t xml:space="preserve">.</w:t>
      </w:r>
      <w:r>
        <w:t xml:space="preserve"> </w:t>
      </w:r>
      <w:r>
        <w:rPr>
          <w:iCs/>
          <w:i/>
        </w:rPr>
        <w:t xml:space="preserve">Nature</w:t>
      </w:r>
      <w:r>
        <w:t xml:space="preserve"> </w:t>
      </w:r>
      <w:r>
        <w:rPr>
          <w:bCs/>
          <w:b/>
        </w:rPr>
        <w:t xml:space="preserve">580</w:t>
      </w:r>
      <w:r>
        <w:t xml:space="preserve">: 227–231.</w:t>
      </w:r>
    </w:p>
    <w:bookmarkEnd w:id="45"/>
    <w:bookmarkStart w:id="47"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6">
        <w:r>
          <w:rPr>
            <w:rStyle w:val="Hyperlink"/>
          </w:rPr>
          <w:t xml:space="preserve">Drought-induced decoupling between carbon uptake and tree growth impacts forest carbon turnover time</w:t>
        </w:r>
      </w:hyperlink>
      <w:r>
        <w:t xml:space="preserve">.</w:t>
      </w:r>
      <w:r>
        <w:t xml:space="preserve"> </w:t>
      </w:r>
      <w:r>
        <w:rPr>
          <w:iCs/>
          <w:i/>
        </w:rPr>
        <w:t xml:space="preserve">Agricultural and Forest Meteorology</w:t>
      </w:r>
      <w:r>
        <w:t xml:space="preserve"> </w:t>
      </w:r>
      <w:r>
        <w:rPr>
          <w:bCs/>
          <w:b/>
        </w:rPr>
        <w:t xml:space="preserve">322</w:t>
      </w:r>
      <w:r>
        <w:t xml:space="preserve">: 108996.</w:t>
      </w:r>
    </w:p>
    <w:bookmarkEnd w:id="47"/>
    <w:bookmarkStart w:id="49" w:name="ref-korner_paradigm_2015"/>
    <w:p>
      <w:pPr>
        <w:pStyle w:val="Bibliography"/>
      </w:pPr>
      <w:r>
        <w:rPr>
          <w:bCs/>
          <w:b/>
          <w:bCs/>
          <w:b/>
        </w:rPr>
        <w:t xml:space="preserve">Körner C</w:t>
      </w:r>
      <w:r>
        <w:t xml:space="preserve">.</w:t>
      </w:r>
      <w:r>
        <w:t xml:space="preserve"> </w:t>
      </w:r>
      <w:r>
        <w:rPr>
          <w:bCs/>
          <w:b/>
        </w:rPr>
        <w:t xml:space="preserve">2015</w:t>
      </w:r>
      <w:r>
        <w:t xml:space="preserve">.</w:t>
      </w:r>
      <w:r>
        <w:t xml:space="preserve"> </w:t>
      </w:r>
      <w:hyperlink r:id="rId48">
        <w:r>
          <w:rPr>
            <w:rStyle w:val="Hyperlink"/>
          </w:rPr>
          <w:t xml:space="preserve">Paradigm shift in plant growth control</w:t>
        </w:r>
      </w:hyperlink>
      <w:r>
        <w:t xml:space="preserve">.</w:t>
      </w:r>
      <w:r>
        <w:t xml:space="preserve"> </w:t>
      </w:r>
      <w:r>
        <w:rPr>
          <w:iCs/>
          <w:i/>
        </w:rPr>
        <w:t xml:space="preserve">Current Opinion in Plant Biology</w:t>
      </w:r>
      <w:r>
        <w:t xml:space="preserve"> </w:t>
      </w:r>
      <w:r>
        <w:rPr>
          <w:bCs/>
          <w:b/>
        </w:rPr>
        <w:t xml:space="preserve">25</w:t>
      </w:r>
      <w:r>
        <w:t xml:space="preserve">: 107–114.</w:t>
      </w:r>
    </w:p>
    <w:bookmarkEnd w:id="49"/>
    <w:bookmarkStart w:id="51"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w:t>
      </w:r>
      <w:r>
        <w:t xml:space="preserve"> </w:t>
      </w:r>
      <w:hyperlink r:id="rId50">
        <w:r>
          <w:rPr>
            <w:rStyle w:val="Hyperlink"/>
          </w:rPr>
          <w:t xml:space="preserve">Drought impacts on tree carbon sequestration and water use</w:t>
        </w:r>
        <w:r>
          <w:rPr>
            <w:rStyle w:val="Hyperlink"/>
          </w:rPr>
          <w:t xml:space="preserve"> </w:t>
        </w:r>
        <w:r>
          <w:rPr>
            <w:rStyle w:val="Hyperlink"/>
          </w:rPr>
          <w:t xml:space="preserve"> </w:t>
        </w:r>
        <w:r>
          <w:rPr>
            <w:rStyle w:val="Hyperlink"/>
          </w:rPr>
          <w:t xml:space="preserve">evidence from intra-annual tree-ring characteristics</w:t>
        </w:r>
      </w:hyperlink>
      <w:r>
        <w:t xml:space="preserve">.</w:t>
      </w:r>
      <w:r>
        <w:t xml:space="preserve"> </w:t>
      </w:r>
      <w:r>
        <w:rPr>
          <w:iCs/>
          <w:i/>
        </w:rPr>
        <w:t xml:space="preserve">New Phytologist</w:t>
      </w:r>
      <w:r>
        <w:t xml:space="preserve"> </w:t>
      </w:r>
      <w:r>
        <w:rPr>
          <w:bCs/>
          <w:b/>
        </w:rPr>
        <w:t xml:space="preserve">n/a</w:t>
      </w:r>
      <w:r>
        <w:t xml:space="preserve">: 000–000.</w:t>
      </w:r>
    </w:p>
    <w:bookmarkEnd w:id="51"/>
    <w:bookmarkStart w:id="53"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2">
        <w:r>
          <w:rPr>
            <w:rStyle w:val="Hyperlink"/>
          </w:rPr>
          <w:t xml:space="preserve">Why trees grow at night</w:t>
        </w:r>
      </w:hyperlink>
      <w:r>
        <w:t xml:space="preserve">.</w:t>
      </w:r>
      <w:r>
        <w:t xml:space="preserve"> </w:t>
      </w:r>
      <w:r>
        <w:rPr>
          <w:iCs/>
          <w:i/>
        </w:rPr>
        <w:t xml:space="preserve">New Phytologist</w:t>
      </w:r>
      <w:r>
        <w:t xml:space="preserve"> </w:t>
      </w:r>
      <w:r>
        <w:rPr>
          <w:bCs/>
          <w:b/>
        </w:rPr>
        <w:t xml:space="preserve">231</w:t>
      </w:r>
      <w:r>
        <w:t xml:space="preserve">: 2174–2185.</w:t>
      </w:r>
    </w:p>
    <w:bookmarkEnd w:id="53"/>
    <w:bookmarkEnd w:id="54"/>
    <w:bookmarkEnd w:id="55"/>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2022-07-04T00:12:17Z</dcterms:created>
  <dcterms:modified xsi:type="dcterms:W3CDTF">2022-07-04T00:12:17Z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